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0" w:rsidRPr="00A609B3" w:rsidRDefault="000E4350" w:rsidP="000E4350">
      <w:pPr>
        <w:rPr>
          <w:b/>
          <w:szCs w:val="28"/>
        </w:rPr>
      </w:pPr>
      <w:r w:rsidRPr="00A609B3">
        <w:rPr>
          <w:b/>
          <w:szCs w:val="28"/>
        </w:rPr>
        <w:t xml:space="preserve">Усовершенствован порядок перевода жилого помещения в </w:t>
      </w:r>
      <w:proofErr w:type="gramStart"/>
      <w:r w:rsidRPr="00A609B3">
        <w:rPr>
          <w:b/>
          <w:szCs w:val="28"/>
        </w:rPr>
        <w:t>нежилое</w:t>
      </w:r>
      <w:proofErr w:type="gramEnd"/>
      <w:r w:rsidR="007403B8" w:rsidRPr="00A609B3">
        <w:rPr>
          <w:b/>
          <w:szCs w:val="28"/>
        </w:rPr>
        <w:t>.</w:t>
      </w:r>
    </w:p>
    <w:p w:rsidR="00A609B3" w:rsidRPr="00A609B3" w:rsidRDefault="00A609B3" w:rsidP="00A609B3">
      <w:pPr>
        <w:rPr>
          <w:b/>
          <w:bCs/>
          <w:szCs w:val="28"/>
        </w:rPr>
      </w:pPr>
    </w:p>
    <w:p w:rsidR="00A609B3" w:rsidRPr="00A609B3" w:rsidRDefault="00A609B3" w:rsidP="00A609B3">
      <w:pPr>
        <w:rPr>
          <w:b/>
          <w:bCs/>
          <w:szCs w:val="28"/>
        </w:rPr>
      </w:pPr>
      <w:r w:rsidRPr="00A609B3">
        <w:rPr>
          <w:b/>
          <w:bCs/>
          <w:szCs w:val="28"/>
        </w:rPr>
        <w:t xml:space="preserve">Прокуратура </w:t>
      </w:r>
      <w:proofErr w:type="spellStart"/>
      <w:r w:rsidRPr="00A609B3">
        <w:rPr>
          <w:b/>
          <w:bCs/>
          <w:szCs w:val="28"/>
        </w:rPr>
        <w:t>Парабельского</w:t>
      </w:r>
      <w:proofErr w:type="spellEnd"/>
      <w:r w:rsidRPr="00A609B3">
        <w:rPr>
          <w:b/>
          <w:bCs/>
          <w:szCs w:val="28"/>
        </w:rPr>
        <w:t xml:space="preserve"> района информирует</w:t>
      </w:r>
    </w:p>
    <w:p w:rsidR="00A609B3" w:rsidRPr="00A609B3" w:rsidRDefault="00A609B3" w:rsidP="000E4350">
      <w:pPr>
        <w:rPr>
          <w:b/>
          <w:szCs w:val="28"/>
        </w:rPr>
      </w:pPr>
    </w:p>
    <w:p w:rsidR="000E4350" w:rsidRPr="00A609B3" w:rsidRDefault="00597423" w:rsidP="000E4350">
      <w:pPr>
        <w:rPr>
          <w:szCs w:val="28"/>
        </w:rPr>
      </w:pPr>
      <w:hyperlink r:id="rId4" w:history="1">
        <w:r w:rsidR="000E4350" w:rsidRPr="00A609B3">
          <w:rPr>
            <w:rStyle w:val="a3"/>
            <w:bCs/>
            <w:color w:val="auto"/>
            <w:szCs w:val="28"/>
            <w:u w:val="none"/>
          </w:rPr>
          <w:t>Федеральным законом от 29.05.2019 № 116-ФЗ внесены изменения в Жилищный кодекс Российской Федерации</w:t>
        </w:r>
      </w:hyperlink>
      <w:r w:rsidR="000E4350" w:rsidRPr="00A609B3">
        <w:rPr>
          <w:szCs w:val="28"/>
        </w:rPr>
        <w:t xml:space="preserve">, устанавливающие особенности проведения общего собрания собственников помещений в многоквартирном доме по вопросу согласования перевода жилого помещения в </w:t>
      </w:r>
      <w:proofErr w:type="gramStart"/>
      <w:r w:rsidR="000E4350" w:rsidRPr="00A609B3">
        <w:rPr>
          <w:szCs w:val="28"/>
        </w:rPr>
        <w:t>нежилое</w:t>
      </w:r>
      <w:proofErr w:type="gramEnd"/>
      <w:r w:rsidR="000E4350" w:rsidRPr="00A609B3">
        <w:rPr>
          <w:szCs w:val="28"/>
        </w:rPr>
        <w:t>.</w:t>
      </w:r>
    </w:p>
    <w:p w:rsidR="000E4350" w:rsidRPr="00A609B3" w:rsidRDefault="000E4350" w:rsidP="000E4350">
      <w:pPr>
        <w:rPr>
          <w:szCs w:val="28"/>
        </w:rPr>
      </w:pPr>
      <w:r w:rsidRPr="00A609B3">
        <w:rPr>
          <w:szCs w:val="28"/>
        </w:rPr>
        <w:t>Так, предусмотрен специальный порядок определения кворума общего собрания – в зависимости от количества подъездов в соответствующем жилом доме.</w:t>
      </w:r>
    </w:p>
    <w:p w:rsidR="000E4350" w:rsidRPr="00A609B3" w:rsidRDefault="000E4350" w:rsidP="000E4350">
      <w:pPr>
        <w:rPr>
          <w:szCs w:val="28"/>
        </w:rPr>
      </w:pPr>
      <w:proofErr w:type="gramStart"/>
      <w:r w:rsidRPr="00A609B3">
        <w:rPr>
          <w:szCs w:val="28"/>
        </w:rPr>
        <w:t xml:space="preserve">В </w:t>
      </w:r>
      <w:proofErr w:type="spellStart"/>
      <w:r w:rsidRPr="00A609B3">
        <w:rPr>
          <w:szCs w:val="28"/>
        </w:rPr>
        <w:t>многоподъездном</w:t>
      </w:r>
      <w:proofErr w:type="spellEnd"/>
      <w:r w:rsidRPr="00A609B3">
        <w:rPr>
          <w:szCs w:val="28"/>
        </w:rPr>
        <w:t xml:space="preserve"> доме требуется одновременное выполнение двух условий: в собрании должны принимать участие лица, обладающие в совокупности большинством от общего числа голосов всех собственников помещений в доме и 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  <w:proofErr w:type="gramEnd"/>
    </w:p>
    <w:p w:rsidR="000E4350" w:rsidRPr="00A609B3" w:rsidRDefault="000E4350" w:rsidP="000E4350">
      <w:pPr>
        <w:rPr>
          <w:szCs w:val="28"/>
        </w:rPr>
      </w:pPr>
      <w:r w:rsidRPr="00A609B3">
        <w:rPr>
          <w:szCs w:val="28"/>
        </w:rPr>
        <w:t xml:space="preserve">В </w:t>
      </w:r>
      <w:proofErr w:type="spellStart"/>
      <w:r w:rsidRPr="00A609B3">
        <w:rPr>
          <w:szCs w:val="28"/>
        </w:rPr>
        <w:t>одноподъездном</w:t>
      </w:r>
      <w:proofErr w:type="spellEnd"/>
      <w:r w:rsidRPr="00A609B3">
        <w:rPr>
          <w:szCs w:val="28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0E4350" w:rsidRPr="00A609B3" w:rsidRDefault="000E4350" w:rsidP="000E4350">
      <w:pPr>
        <w:rPr>
          <w:szCs w:val="28"/>
        </w:rPr>
      </w:pPr>
      <w:r w:rsidRPr="00A609B3">
        <w:rPr>
          <w:szCs w:val="28"/>
        </w:rPr>
        <w:t xml:space="preserve">Кроме того, для перевода жилого помещения в нежилое требуется письменное согласие собственников всех помещений, примыкающих к </w:t>
      </w:r>
      <w:proofErr w:type="gramStart"/>
      <w:r w:rsidRPr="00A609B3">
        <w:rPr>
          <w:szCs w:val="28"/>
        </w:rPr>
        <w:t>переводимому</w:t>
      </w:r>
      <w:proofErr w:type="gramEnd"/>
      <w:r w:rsidRPr="00A609B3">
        <w:rPr>
          <w:szCs w:val="28"/>
        </w:rPr>
        <w:t>.</w:t>
      </w:r>
    </w:p>
    <w:p w:rsidR="000E4350" w:rsidRPr="00A609B3" w:rsidRDefault="000E4350" w:rsidP="000E4350">
      <w:pPr>
        <w:rPr>
          <w:szCs w:val="28"/>
        </w:rPr>
      </w:pPr>
      <w:r w:rsidRPr="00A609B3">
        <w:rPr>
          <w:szCs w:val="28"/>
        </w:rPr>
        <w:t xml:space="preserve">Протокол общего собрания собственников и согласие на перевод помещения из нежилого в жилое включены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 w:rsidRPr="00A609B3">
        <w:rPr>
          <w:szCs w:val="28"/>
        </w:rPr>
        <w:t>в</w:t>
      </w:r>
      <w:proofErr w:type="gramEnd"/>
      <w:r w:rsidRPr="00A609B3">
        <w:rPr>
          <w:szCs w:val="28"/>
        </w:rPr>
        <w:t xml:space="preserve"> нежилое.</w:t>
      </w:r>
    </w:p>
    <w:p w:rsidR="000E4350" w:rsidRPr="00A609B3" w:rsidRDefault="000E4350" w:rsidP="000E4350">
      <w:pPr>
        <w:rPr>
          <w:szCs w:val="28"/>
        </w:rPr>
      </w:pPr>
      <w:r w:rsidRPr="00A609B3">
        <w:rPr>
          <w:szCs w:val="28"/>
        </w:rPr>
        <w:t xml:space="preserve">Органы регионального государственного жилищного надзора наделены полномочиями по проверке соблюдения требований к получению согласия на перевод помещения из жилого в </w:t>
      </w:r>
      <w:proofErr w:type="gramStart"/>
      <w:r w:rsidRPr="00A609B3">
        <w:rPr>
          <w:szCs w:val="28"/>
        </w:rPr>
        <w:t>нежилое</w:t>
      </w:r>
      <w:proofErr w:type="gramEnd"/>
      <w:r w:rsidRPr="00A609B3">
        <w:rPr>
          <w:szCs w:val="28"/>
        </w:rPr>
        <w:t>.</w:t>
      </w:r>
    </w:p>
    <w:p w:rsidR="007403B8" w:rsidRPr="00A609B3" w:rsidRDefault="007403B8" w:rsidP="007403B8">
      <w:pPr>
        <w:rPr>
          <w:szCs w:val="28"/>
        </w:rPr>
      </w:pPr>
      <w:r w:rsidRPr="00A609B3">
        <w:rPr>
          <w:szCs w:val="28"/>
        </w:rPr>
        <w:t xml:space="preserve">Опубликован на </w:t>
      </w:r>
      <w:proofErr w:type="gramStart"/>
      <w:r w:rsidRPr="00A609B3">
        <w:rPr>
          <w:szCs w:val="28"/>
        </w:rPr>
        <w:t>официальном</w:t>
      </w:r>
      <w:proofErr w:type="gramEnd"/>
      <w:r w:rsidRPr="00A609B3">
        <w:rPr>
          <w:szCs w:val="28"/>
        </w:rPr>
        <w:t xml:space="preserve"> </w:t>
      </w:r>
      <w:proofErr w:type="spellStart"/>
      <w:r w:rsidRPr="00A609B3">
        <w:rPr>
          <w:szCs w:val="28"/>
        </w:rPr>
        <w:t>интернет-портале</w:t>
      </w:r>
      <w:proofErr w:type="spellEnd"/>
      <w:r w:rsidRPr="00A609B3">
        <w:rPr>
          <w:szCs w:val="28"/>
        </w:rPr>
        <w:t xml:space="preserve"> правовой информации </w:t>
      </w:r>
      <w:hyperlink r:id="rId5" w:history="1">
        <w:r w:rsidRPr="00A609B3">
          <w:rPr>
            <w:rStyle w:val="a3"/>
            <w:szCs w:val="28"/>
          </w:rPr>
          <w:t>http://www.pravo.gov.ru</w:t>
        </w:r>
      </w:hyperlink>
      <w:r w:rsidRPr="00A609B3">
        <w:rPr>
          <w:szCs w:val="28"/>
        </w:rPr>
        <w:t xml:space="preserve"> 29.05.2019, номер опубликования: </w:t>
      </w:r>
      <w:r w:rsidRPr="00A609B3">
        <w:rPr>
          <w:bCs/>
          <w:szCs w:val="28"/>
        </w:rPr>
        <w:t>0001201905290067</w:t>
      </w:r>
    </w:p>
    <w:p w:rsidR="007403B8" w:rsidRDefault="007403B8" w:rsidP="00A609B3">
      <w:pPr>
        <w:ind w:firstLine="0"/>
      </w:pPr>
    </w:p>
    <w:sectPr w:rsidR="007403B8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4350"/>
    <w:rsid w:val="000E4350"/>
    <w:rsid w:val="001D635E"/>
    <w:rsid w:val="00241B84"/>
    <w:rsid w:val="004F2600"/>
    <w:rsid w:val="005305E9"/>
    <w:rsid w:val="00597423"/>
    <w:rsid w:val="007109D0"/>
    <w:rsid w:val="007403B8"/>
    <w:rsid w:val="009E3871"/>
    <w:rsid w:val="00A13B85"/>
    <w:rsid w:val="00A609B3"/>
    <w:rsid w:val="00C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consultant.ru/document/cons_doc_LAW_325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5</cp:revision>
  <dcterms:created xsi:type="dcterms:W3CDTF">2019-06-17T09:17:00Z</dcterms:created>
  <dcterms:modified xsi:type="dcterms:W3CDTF">2019-06-18T03:39:00Z</dcterms:modified>
</cp:coreProperties>
</file>